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4A97" w:rsidRPr="00F96440" w:rsidRDefault="00C0468D" w:rsidP="00F96440">
      <w:pPr>
        <w:pStyle w:val="Duidelijkcitaat"/>
        <w:rPr>
          <w:rFonts w:ascii="Open Sans" w:hAnsi="Open Sans" w:cs="Open Sans"/>
          <w:color w:val="auto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color w:val="auto"/>
          <w:sz w:val="24"/>
          <w:szCs w:val="24"/>
        </w:rPr>
        <w:t>Havo-3 midden</w:t>
      </w:r>
      <w:r w:rsidR="00744A97" w:rsidRPr="00F96440">
        <w:rPr>
          <w:rFonts w:ascii="Open Sans" w:hAnsi="Open Sans" w:cs="Open Sans"/>
          <w:color w:val="auto"/>
          <w:sz w:val="24"/>
          <w:szCs w:val="24"/>
        </w:rPr>
        <w:t xml:space="preserve">: Het Rotterdams Beroepenspel, </w:t>
      </w:r>
      <w:r w:rsidR="00124516" w:rsidRPr="00F96440">
        <w:rPr>
          <w:rFonts w:ascii="Open Sans" w:hAnsi="Open Sans" w:cs="Open Sans"/>
          <w:color w:val="auto"/>
          <w:sz w:val="24"/>
          <w:szCs w:val="24"/>
        </w:rPr>
        <w:t>instructie voor begeleider</w:t>
      </w:r>
    </w:p>
    <w:p w:rsidR="007D2A35" w:rsidRDefault="00A02837">
      <w:pPr>
        <w:spacing w:line="240" w:lineRule="auto"/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br/>
      </w:r>
    </w:p>
    <w:p w:rsidR="007D2A35" w:rsidRPr="00600A8F" w:rsidRDefault="00A02837" w:rsidP="00274099">
      <w:pPr>
        <w:spacing w:line="240" w:lineRule="atLeast"/>
        <w:jc w:val="both"/>
        <w:rPr>
          <w:sz w:val="20"/>
          <w:szCs w:val="20"/>
        </w:rPr>
      </w:pPr>
      <w:r w:rsidRPr="00600A8F">
        <w:rPr>
          <w:sz w:val="20"/>
          <w:szCs w:val="20"/>
        </w:rPr>
        <w:t xml:space="preserve">Profielkeuze wordt georganiseerd voor leerlingen van havo 3. Er is een programma ontwikkeld </w:t>
      </w:r>
      <w:r w:rsidR="00274099">
        <w:rPr>
          <w:sz w:val="20"/>
          <w:szCs w:val="20"/>
        </w:rPr>
        <w:t>dat</w:t>
      </w:r>
      <w:r w:rsidRPr="00600A8F">
        <w:rPr>
          <w:sz w:val="20"/>
          <w:szCs w:val="20"/>
        </w:rPr>
        <w:t xml:space="preserve"> de decanen kunnen gebruiken in hun lessen. </w:t>
      </w:r>
    </w:p>
    <w:p w:rsidR="007D2A35" w:rsidRPr="00600A8F" w:rsidRDefault="007D2A35" w:rsidP="00274099">
      <w:pPr>
        <w:spacing w:line="240" w:lineRule="atLeast"/>
        <w:jc w:val="both"/>
        <w:rPr>
          <w:sz w:val="20"/>
          <w:szCs w:val="20"/>
        </w:rPr>
      </w:pPr>
    </w:p>
    <w:p w:rsidR="007D2A35" w:rsidRPr="00600A8F" w:rsidRDefault="00A02837" w:rsidP="00274099">
      <w:pPr>
        <w:spacing w:line="240" w:lineRule="atLeast"/>
        <w:jc w:val="both"/>
        <w:rPr>
          <w:sz w:val="20"/>
          <w:szCs w:val="20"/>
        </w:rPr>
      </w:pPr>
      <w:r w:rsidRPr="00600A8F">
        <w:rPr>
          <w:sz w:val="20"/>
          <w:szCs w:val="20"/>
        </w:rPr>
        <w:t>Het programma bestaat uit:</w:t>
      </w:r>
    </w:p>
    <w:p w:rsidR="007D2A35" w:rsidRPr="00600A8F" w:rsidRDefault="00A02837" w:rsidP="00274099">
      <w:pPr>
        <w:numPr>
          <w:ilvl w:val="0"/>
          <w:numId w:val="7"/>
        </w:numPr>
        <w:spacing w:line="240" w:lineRule="atLeast"/>
        <w:ind w:hanging="360"/>
        <w:jc w:val="both"/>
        <w:rPr>
          <w:sz w:val="20"/>
          <w:szCs w:val="20"/>
        </w:rPr>
      </w:pPr>
      <w:r w:rsidRPr="00600A8F">
        <w:rPr>
          <w:sz w:val="20"/>
          <w:szCs w:val="20"/>
        </w:rPr>
        <w:t>Het Rotterdams Beroepenspel</w:t>
      </w:r>
    </w:p>
    <w:p w:rsidR="007D2A35" w:rsidRPr="00600A8F" w:rsidRDefault="00A02837" w:rsidP="00274099">
      <w:pPr>
        <w:numPr>
          <w:ilvl w:val="0"/>
          <w:numId w:val="7"/>
        </w:numPr>
        <w:spacing w:line="240" w:lineRule="atLeast"/>
        <w:ind w:hanging="360"/>
        <w:jc w:val="both"/>
        <w:rPr>
          <w:sz w:val="20"/>
          <w:szCs w:val="20"/>
        </w:rPr>
      </w:pPr>
      <w:r w:rsidRPr="00600A8F">
        <w:rPr>
          <w:sz w:val="20"/>
          <w:szCs w:val="20"/>
        </w:rPr>
        <w:t>Twee filmpjes</w:t>
      </w:r>
    </w:p>
    <w:p w:rsidR="007D2A35" w:rsidRPr="00600A8F" w:rsidRDefault="007D2A35" w:rsidP="00274099">
      <w:pPr>
        <w:spacing w:line="240" w:lineRule="atLeast"/>
        <w:jc w:val="both"/>
        <w:rPr>
          <w:sz w:val="20"/>
          <w:szCs w:val="20"/>
        </w:rPr>
      </w:pPr>
    </w:p>
    <w:p w:rsidR="007D2A35" w:rsidRPr="00600A8F" w:rsidRDefault="00A02837" w:rsidP="00274099">
      <w:pPr>
        <w:spacing w:line="240" w:lineRule="atLeast"/>
        <w:jc w:val="both"/>
        <w:rPr>
          <w:sz w:val="20"/>
          <w:szCs w:val="20"/>
        </w:rPr>
      </w:pPr>
      <w:r w:rsidRPr="00600A8F">
        <w:rPr>
          <w:sz w:val="20"/>
          <w:szCs w:val="20"/>
        </w:rPr>
        <w:t>Het Rotterdams Beroepenspel kan klassikaal worden ingezet om havo</w:t>
      </w:r>
      <w:r w:rsidR="00B05C52">
        <w:rPr>
          <w:sz w:val="20"/>
          <w:szCs w:val="20"/>
        </w:rPr>
        <w:t>-</w:t>
      </w:r>
      <w:r w:rsidRPr="00600A8F">
        <w:rPr>
          <w:sz w:val="20"/>
          <w:szCs w:val="20"/>
        </w:rPr>
        <w:t xml:space="preserve">leerlingen te helpen bij het kiezen van hun profiel. Het kiezen van een profiel heeft invloed op de keuze voor een hbo-opleiding en indirect op een beroepskeuze. Het spel </w:t>
      </w:r>
      <w:r w:rsidR="00274099">
        <w:rPr>
          <w:sz w:val="20"/>
          <w:szCs w:val="20"/>
        </w:rPr>
        <w:t xml:space="preserve">geeft de leerling inzicht in de </w:t>
      </w:r>
      <w:r w:rsidRPr="00600A8F">
        <w:rPr>
          <w:sz w:val="20"/>
          <w:szCs w:val="20"/>
        </w:rPr>
        <w:t xml:space="preserve">verschillende beroepen die gekoppeld zijn aan de Rotterdamse hbo-opleidingen. </w:t>
      </w:r>
    </w:p>
    <w:p w:rsidR="007D2A35" w:rsidRPr="00600A8F" w:rsidRDefault="007D2A35" w:rsidP="00274099">
      <w:pPr>
        <w:spacing w:line="240" w:lineRule="atLeast"/>
        <w:jc w:val="both"/>
        <w:rPr>
          <w:sz w:val="20"/>
          <w:szCs w:val="20"/>
        </w:rPr>
      </w:pPr>
    </w:p>
    <w:p w:rsidR="007D2A35" w:rsidRDefault="00A02837" w:rsidP="00274099">
      <w:pPr>
        <w:spacing w:line="240" w:lineRule="atLeast"/>
        <w:jc w:val="both"/>
      </w:pPr>
      <w:r w:rsidRPr="00600A8F">
        <w:rPr>
          <w:sz w:val="20"/>
          <w:szCs w:val="20"/>
        </w:rPr>
        <w:t>Hierbij kunne</w:t>
      </w:r>
      <w:r w:rsidR="00F96440">
        <w:rPr>
          <w:sz w:val="20"/>
          <w:szCs w:val="20"/>
        </w:rPr>
        <w:t>n de decanen/leerlingen gebruik</w:t>
      </w:r>
      <w:r w:rsidRPr="00600A8F">
        <w:rPr>
          <w:sz w:val="20"/>
          <w:szCs w:val="20"/>
        </w:rPr>
        <w:t>maken</w:t>
      </w:r>
      <w:r w:rsidR="00F96440">
        <w:rPr>
          <w:sz w:val="20"/>
          <w:szCs w:val="20"/>
        </w:rPr>
        <w:t xml:space="preserve"> van een filmpje, waarin kennis</w:t>
      </w:r>
      <w:r w:rsidRPr="00600A8F">
        <w:rPr>
          <w:sz w:val="20"/>
          <w:szCs w:val="20"/>
        </w:rPr>
        <w:t xml:space="preserve">gemaakt wordt </w:t>
      </w:r>
      <w:r w:rsidR="00533CA3">
        <w:rPr>
          <w:sz w:val="20"/>
          <w:szCs w:val="20"/>
        </w:rPr>
        <w:t>een Rotterdamse hogeschool</w:t>
      </w:r>
      <w:r w:rsidRPr="00600A8F">
        <w:rPr>
          <w:sz w:val="20"/>
          <w:szCs w:val="20"/>
        </w:rPr>
        <w:t xml:space="preserve"> en waarin de ervaring van het keuzeproces vanaf het profiel tot aan de opleiding onder de aandacht wordt gebracht. Een tweede filmpje geeft een introductie van Het Rotterdams Beroepenspel.</w:t>
      </w:r>
    </w:p>
    <w:p w:rsidR="00600A8F" w:rsidRDefault="00600A8F">
      <w:pPr>
        <w:spacing w:line="240" w:lineRule="auto"/>
      </w:pPr>
    </w:p>
    <w:p w:rsidR="00600A8F" w:rsidRDefault="00600A8F">
      <w:pPr>
        <w:spacing w:line="240" w:lineRule="auto"/>
      </w:pPr>
    </w:p>
    <w:p w:rsidR="007D2A35" w:rsidRDefault="007D2A35">
      <w:pPr>
        <w:spacing w:line="240" w:lineRule="auto"/>
        <w:jc w:val="center"/>
      </w:pPr>
    </w:p>
    <w:tbl>
      <w:tblPr>
        <w:tblStyle w:val="a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7D2A35">
        <w:tc>
          <w:tcPr>
            <w:tcW w:w="9212" w:type="dxa"/>
            <w:gridSpan w:val="2"/>
            <w:shd w:val="clear" w:color="auto" w:fill="C0C0C0"/>
          </w:tcPr>
          <w:p w:rsidR="007D2A35" w:rsidRDefault="00A02837">
            <w:pPr>
              <w:spacing w:line="240" w:lineRule="auto"/>
              <w:rPr>
                <w:b/>
                <w:sz w:val="24"/>
                <w:szCs w:val="24"/>
              </w:rPr>
            </w:pPr>
            <w:r w:rsidRPr="00600A8F">
              <w:rPr>
                <w:b/>
                <w:sz w:val="24"/>
                <w:szCs w:val="24"/>
              </w:rPr>
              <w:t xml:space="preserve">A. Algemene gegevens    </w:t>
            </w:r>
            <w:r w:rsidR="00274099">
              <w:rPr>
                <w:b/>
                <w:sz w:val="24"/>
                <w:szCs w:val="24"/>
              </w:rPr>
              <w:t xml:space="preserve">                       </w:t>
            </w:r>
            <w:r w:rsidRPr="00600A8F">
              <w:rPr>
                <w:b/>
                <w:sz w:val="24"/>
                <w:szCs w:val="24"/>
              </w:rPr>
              <w:t>Instructie Het Rotterdams Beroepenspel</w:t>
            </w:r>
          </w:p>
          <w:p w:rsidR="00274099" w:rsidRPr="00600A8F" w:rsidRDefault="002740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Onderwerp</w:t>
            </w:r>
          </w:p>
        </w:tc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 xml:space="preserve">Profielkeuze / LOB </w:t>
            </w:r>
          </w:p>
        </w:tc>
      </w:tr>
      <w:tr w:rsidR="007D2A35">
        <w:trPr>
          <w:trHeight w:val="60"/>
        </w:trPr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Doelgroep</w:t>
            </w:r>
          </w:p>
        </w:tc>
        <w:tc>
          <w:tcPr>
            <w:tcW w:w="4606" w:type="dxa"/>
          </w:tcPr>
          <w:p w:rsidR="007D2A35" w:rsidRPr="00600A8F" w:rsidRDefault="0027409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Havo 3-</w:t>
            </w:r>
            <w:r w:rsidR="00A02837" w:rsidRPr="00600A8F">
              <w:rPr>
                <w:sz w:val="20"/>
                <w:szCs w:val="20"/>
              </w:rPr>
              <w:t xml:space="preserve">leerlingen </w:t>
            </w: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Doelen</w:t>
            </w:r>
          </w:p>
        </w:tc>
        <w:tc>
          <w:tcPr>
            <w:tcW w:w="4606" w:type="dxa"/>
          </w:tcPr>
          <w:p w:rsidR="007D2A35" w:rsidRPr="00600A8F" w:rsidRDefault="00A02837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 xml:space="preserve">Kennismaking </w:t>
            </w:r>
            <w:r w:rsidR="00533CA3">
              <w:rPr>
                <w:sz w:val="20"/>
                <w:szCs w:val="20"/>
              </w:rPr>
              <w:t>Rotterdamse hogeschool</w:t>
            </w:r>
          </w:p>
          <w:p w:rsidR="007D2A35" w:rsidRPr="00600A8F" w:rsidRDefault="00A02837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Introductie Het Rotterdams Beroepenspel</w:t>
            </w: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 xml:space="preserve">Totale tijdsduur </w:t>
            </w:r>
          </w:p>
        </w:tc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 xml:space="preserve">1 les van 60 min </w:t>
            </w: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Activiteit(en) leerling</w:t>
            </w:r>
          </w:p>
        </w:tc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Zie handleiding leerling</w:t>
            </w: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Activiteiten begeleider</w:t>
            </w:r>
          </w:p>
        </w:tc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 xml:space="preserve">Zie handleiding begeleider </w:t>
            </w:r>
          </w:p>
        </w:tc>
      </w:tr>
      <w:tr w:rsidR="007D2A35"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Filmpjes</w:t>
            </w:r>
          </w:p>
        </w:tc>
        <w:tc>
          <w:tcPr>
            <w:tcW w:w="4606" w:type="dxa"/>
          </w:tcPr>
          <w:p w:rsidR="007D2A35" w:rsidRPr="00600A8F" w:rsidRDefault="00A02837">
            <w:pPr>
              <w:spacing w:line="240" w:lineRule="auto"/>
              <w:rPr>
                <w:sz w:val="20"/>
                <w:szCs w:val="20"/>
              </w:rPr>
            </w:pPr>
            <w:r w:rsidRPr="00600A8F">
              <w:rPr>
                <w:sz w:val="20"/>
                <w:szCs w:val="20"/>
              </w:rPr>
              <w:t>https://www.hogeschoolrotterdam.nl/vo</w:t>
            </w:r>
            <w:r w:rsidR="00F96440">
              <w:rPr>
                <w:sz w:val="20"/>
                <w:szCs w:val="20"/>
              </w:rPr>
              <w:t>orlichting/voor-decanen/studie--</w:t>
            </w:r>
            <w:r w:rsidRPr="00600A8F">
              <w:rPr>
                <w:sz w:val="20"/>
                <w:szCs w:val="20"/>
              </w:rPr>
              <w:t>en-profielkeuzeondersteuning/</w:t>
            </w:r>
          </w:p>
        </w:tc>
      </w:tr>
      <w:tr w:rsidR="007D2A35">
        <w:tc>
          <w:tcPr>
            <w:tcW w:w="9212" w:type="dxa"/>
            <w:gridSpan w:val="2"/>
            <w:shd w:val="clear" w:color="auto" w:fill="C0C0C0"/>
          </w:tcPr>
          <w:p w:rsidR="007D2A35" w:rsidRPr="00600A8F" w:rsidRDefault="00A02837">
            <w:pPr>
              <w:spacing w:line="240" w:lineRule="auto"/>
              <w:rPr>
                <w:sz w:val="24"/>
                <w:szCs w:val="24"/>
              </w:rPr>
            </w:pPr>
            <w:r w:rsidRPr="00600A8F">
              <w:rPr>
                <w:b/>
                <w:sz w:val="24"/>
                <w:szCs w:val="24"/>
              </w:rPr>
              <w:t>B. Benodigdheden</w:t>
            </w:r>
          </w:p>
        </w:tc>
      </w:tr>
      <w:tr w:rsidR="007D2A35">
        <w:tc>
          <w:tcPr>
            <w:tcW w:w="4606" w:type="dxa"/>
          </w:tcPr>
          <w:p w:rsidR="007D2A35" w:rsidRPr="00274099" w:rsidRDefault="00A02837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0"/>
                <w:szCs w:val="20"/>
              </w:rPr>
            </w:pPr>
            <w:r w:rsidRPr="00274099">
              <w:rPr>
                <w:sz w:val="20"/>
                <w:szCs w:val="20"/>
              </w:rPr>
              <w:t>Begeleiders</w:t>
            </w:r>
          </w:p>
        </w:tc>
        <w:tc>
          <w:tcPr>
            <w:tcW w:w="4606" w:type="dxa"/>
          </w:tcPr>
          <w:p w:rsidR="00274099" w:rsidRPr="00274099" w:rsidRDefault="00A02837">
            <w:pPr>
              <w:spacing w:line="240" w:lineRule="auto"/>
              <w:rPr>
                <w:sz w:val="20"/>
                <w:szCs w:val="20"/>
              </w:rPr>
            </w:pPr>
            <w:r w:rsidRPr="00274099">
              <w:rPr>
                <w:sz w:val="20"/>
                <w:szCs w:val="20"/>
              </w:rPr>
              <w:t>Mentoren, decanen, docenten.</w:t>
            </w:r>
          </w:p>
        </w:tc>
      </w:tr>
      <w:tr w:rsidR="007D2A35" w:rsidTr="00274099">
        <w:trPr>
          <w:trHeight w:val="89"/>
        </w:trPr>
        <w:tc>
          <w:tcPr>
            <w:tcW w:w="4606" w:type="dxa"/>
          </w:tcPr>
          <w:p w:rsidR="007D2A35" w:rsidRPr="00274099" w:rsidRDefault="00A02837">
            <w:pPr>
              <w:tabs>
                <w:tab w:val="center" w:pos="4536"/>
                <w:tab w:val="right" w:pos="9072"/>
              </w:tabs>
              <w:spacing w:line="240" w:lineRule="auto"/>
              <w:rPr>
                <w:sz w:val="20"/>
                <w:szCs w:val="20"/>
              </w:rPr>
            </w:pPr>
            <w:r w:rsidRPr="00274099">
              <w:rPr>
                <w:sz w:val="20"/>
                <w:szCs w:val="20"/>
              </w:rPr>
              <w:t>Werkmateriaal</w:t>
            </w:r>
          </w:p>
        </w:tc>
        <w:tc>
          <w:tcPr>
            <w:tcW w:w="4606" w:type="dxa"/>
          </w:tcPr>
          <w:p w:rsidR="00274099" w:rsidRPr="00274099" w:rsidRDefault="00A02837">
            <w:pPr>
              <w:spacing w:line="240" w:lineRule="auto"/>
              <w:rPr>
                <w:sz w:val="20"/>
                <w:szCs w:val="20"/>
              </w:rPr>
            </w:pPr>
            <w:r w:rsidRPr="00274099">
              <w:rPr>
                <w:sz w:val="20"/>
                <w:szCs w:val="20"/>
              </w:rPr>
              <w:t>Het Rotterdams beroepenspel</w:t>
            </w:r>
          </w:p>
        </w:tc>
      </w:tr>
      <w:tr w:rsidR="007D2A35">
        <w:tc>
          <w:tcPr>
            <w:tcW w:w="9212" w:type="dxa"/>
            <w:gridSpan w:val="2"/>
            <w:shd w:val="clear" w:color="auto" w:fill="C0C0C0"/>
          </w:tcPr>
          <w:p w:rsidR="00274099" w:rsidRPr="00274099" w:rsidRDefault="00A02837">
            <w:pPr>
              <w:spacing w:line="240" w:lineRule="auto"/>
              <w:rPr>
                <w:b/>
                <w:sz w:val="24"/>
                <w:szCs w:val="24"/>
              </w:rPr>
            </w:pPr>
            <w:r w:rsidRPr="00600A8F">
              <w:rPr>
                <w:b/>
                <w:sz w:val="24"/>
                <w:szCs w:val="24"/>
              </w:rPr>
              <w:t>C. Handleidingen</w:t>
            </w:r>
          </w:p>
        </w:tc>
      </w:tr>
    </w:tbl>
    <w:p w:rsidR="007D2A35" w:rsidRDefault="007D2A35">
      <w:pPr>
        <w:spacing w:line="240" w:lineRule="auto"/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744A97" w:rsidRDefault="00744A97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274099" w:rsidRDefault="00274099">
      <w:pPr>
        <w:spacing w:line="240" w:lineRule="auto"/>
        <w:rPr>
          <w:b/>
          <w:color w:val="auto"/>
          <w:sz w:val="24"/>
          <w:szCs w:val="24"/>
        </w:rPr>
      </w:pPr>
    </w:p>
    <w:p w:rsidR="007D2A35" w:rsidRPr="00F96440" w:rsidRDefault="00A02837">
      <w:pPr>
        <w:spacing w:line="240" w:lineRule="auto"/>
        <w:rPr>
          <w:i/>
          <w:color w:val="auto"/>
          <w:sz w:val="20"/>
          <w:szCs w:val="20"/>
        </w:rPr>
      </w:pPr>
      <w:r w:rsidRPr="00F96440">
        <w:rPr>
          <w:b/>
          <w:i/>
          <w:color w:val="auto"/>
          <w:sz w:val="20"/>
          <w:szCs w:val="20"/>
        </w:rPr>
        <w:t>Handleiding begeleider</w:t>
      </w:r>
    </w:p>
    <w:p w:rsidR="00274099" w:rsidRDefault="00274099" w:rsidP="00DD08E5">
      <w:pPr>
        <w:spacing w:line="360" w:lineRule="auto"/>
      </w:pPr>
    </w:p>
    <w:p w:rsidR="007D2A35" w:rsidRPr="00600A8F" w:rsidRDefault="00A02837" w:rsidP="00DD08E5">
      <w:pPr>
        <w:spacing w:line="360" w:lineRule="auto"/>
        <w:rPr>
          <w:color w:val="auto"/>
          <w:sz w:val="24"/>
          <w:szCs w:val="24"/>
        </w:rPr>
      </w:pPr>
      <w:r w:rsidRPr="00600A8F">
        <w:rPr>
          <w:b/>
          <w:color w:val="auto"/>
          <w:sz w:val="24"/>
          <w:szCs w:val="24"/>
        </w:rPr>
        <w:t>Materiaal beroepenspel</w:t>
      </w:r>
    </w:p>
    <w:p w:rsidR="007D2A35" w:rsidRPr="00600A8F" w:rsidRDefault="00A02837" w:rsidP="00DD08E5">
      <w:pPr>
        <w:numPr>
          <w:ilvl w:val="0"/>
          <w:numId w:val="8"/>
        </w:numPr>
        <w:spacing w:line="360" w:lineRule="auto"/>
        <w:ind w:hanging="360"/>
        <w:rPr>
          <w:sz w:val="20"/>
          <w:szCs w:val="20"/>
        </w:rPr>
      </w:pPr>
      <w:r w:rsidRPr="00600A8F">
        <w:rPr>
          <w:sz w:val="20"/>
          <w:szCs w:val="20"/>
        </w:rPr>
        <w:t>Zes beroepenspellen.</w:t>
      </w:r>
    </w:p>
    <w:p w:rsidR="007D2A35" w:rsidRPr="00600A8F" w:rsidRDefault="00A02837" w:rsidP="00DD08E5">
      <w:pPr>
        <w:numPr>
          <w:ilvl w:val="0"/>
          <w:numId w:val="8"/>
        </w:numPr>
        <w:spacing w:line="360" w:lineRule="auto"/>
        <w:ind w:hanging="360"/>
        <w:rPr>
          <w:sz w:val="20"/>
          <w:szCs w:val="20"/>
        </w:rPr>
      </w:pPr>
      <w:r w:rsidRPr="00600A8F">
        <w:rPr>
          <w:sz w:val="20"/>
          <w:szCs w:val="20"/>
        </w:rPr>
        <w:t>Per spel 100 beroepenkaartjes. Op ieder kaartje staat een korte uitleg over het</w:t>
      </w:r>
      <w:r w:rsidRPr="00600A8F">
        <w:rPr>
          <w:sz w:val="20"/>
          <w:szCs w:val="20"/>
        </w:rPr>
        <w:br/>
        <w:t>beroep.</w:t>
      </w:r>
    </w:p>
    <w:p w:rsidR="007D2A35" w:rsidRPr="00600A8F" w:rsidRDefault="00A02837" w:rsidP="00DD08E5">
      <w:pPr>
        <w:numPr>
          <w:ilvl w:val="0"/>
          <w:numId w:val="8"/>
        </w:numPr>
        <w:spacing w:line="360" w:lineRule="auto"/>
        <w:ind w:hanging="360"/>
        <w:rPr>
          <w:sz w:val="20"/>
          <w:szCs w:val="20"/>
        </w:rPr>
      </w:pPr>
      <w:r w:rsidRPr="00600A8F">
        <w:rPr>
          <w:sz w:val="20"/>
          <w:szCs w:val="20"/>
        </w:rPr>
        <w:t>Per spel 7 sectorvellen. Deze hbo-sectoren worden in Rotterdam aangeboden.</w:t>
      </w:r>
    </w:p>
    <w:p w:rsidR="007D2A35" w:rsidRPr="00600A8F" w:rsidRDefault="00A02837" w:rsidP="00DD08E5">
      <w:pPr>
        <w:numPr>
          <w:ilvl w:val="0"/>
          <w:numId w:val="8"/>
        </w:numPr>
        <w:spacing w:line="360" w:lineRule="auto"/>
        <w:ind w:hanging="360"/>
        <w:rPr>
          <w:sz w:val="20"/>
          <w:szCs w:val="20"/>
        </w:rPr>
      </w:pPr>
      <w:r w:rsidRPr="00600A8F">
        <w:rPr>
          <w:sz w:val="20"/>
          <w:szCs w:val="20"/>
        </w:rPr>
        <w:t>Per spel een handleiding voor de leerlingen.</w:t>
      </w:r>
      <w:r w:rsidRPr="00600A8F">
        <w:rPr>
          <w:sz w:val="20"/>
          <w:szCs w:val="20"/>
        </w:rPr>
        <w:br/>
      </w:r>
    </w:p>
    <w:p w:rsidR="007D2A35" w:rsidRDefault="00A02837" w:rsidP="00DD08E5">
      <w:pPr>
        <w:spacing w:line="360" w:lineRule="auto"/>
      </w:pPr>
      <w:r w:rsidRPr="00600A8F">
        <w:rPr>
          <w:sz w:val="20"/>
          <w:szCs w:val="20"/>
        </w:rPr>
        <w:t>Daarnaast is er een overzicht van de beroepen met de gelinkte sectoren die je zelf ter</w:t>
      </w:r>
      <w:r w:rsidRPr="00600A8F">
        <w:rPr>
          <w:sz w:val="20"/>
          <w:szCs w:val="20"/>
        </w:rPr>
        <w:br/>
        <w:t>controle kunt gebruiken.</w:t>
      </w:r>
      <w:r>
        <w:br/>
      </w:r>
    </w:p>
    <w:p w:rsidR="007D2A35" w:rsidRPr="00600A8F" w:rsidRDefault="00A02837" w:rsidP="00DD08E5">
      <w:pPr>
        <w:spacing w:line="360" w:lineRule="auto"/>
        <w:rPr>
          <w:color w:val="auto"/>
          <w:sz w:val="24"/>
          <w:szCs w:val="24"/>
        </w:rPr>
      </w:pPr>
      <w:r w:rsidRPr="00600A8F">
        <w:rPr>
          <w:b/>
          <w:color w:val="auto"/>
          <w:sz w:val="24"/>
          <w:szCs w:val="24"/>
        </w:rPr>
        <w:t>Materiaal online</w:t>
      </w:r>
    </w:p>
    <w:p w:rsidR="007D2A35" w:rsidRPr="00600A8F" w:rsidRDefault="00A02837" w:rsidP="00DD08E5">
      <w:pPr>
        <w:numPr>
          <w:ilvl w:val="0"/>
          <w:numId w:val="1"/>
        </w:numPr>
        <w:spacing w:line="360" w:lineRule="auto"/>
        <w:ind w:left="709" w:hanging="283"/>
        <w:rPr>
          <w:sz w:val="20"/>
          <w:szCs w:val="20"/>
        </w:rPr>
      </w:pPr>
      <w:r w:rsidRPr="00600A8F">
        <w:rPr>
          <w:sz w:val="20"/>
          <w:szCs w:val="20"/>
        </w:rPr>
        <w:t>Film studeren in het hbo (te bekijken op hogeschoolrotterdam.nl/decanen onder het</w:t>
      </w:r>
      <w:r w:rsidRPr="00600A8F">
        <w:rPr>
          <w:sz w:val="20"/>
          <w:szCs w:val="20"/>
        </w:rPr>
        <w:br/>
        <w:t>kopje ‘voorlichting en studiekeuze’)</w:t>
      </w:r>
    </w:p>
    <w:p w:rsidR="007D2A35" w:rsidRDefault="00A02837" w:rsidP="00DD08E5">
      <w:pPr>
        <w:numPr>
          <w:ilvl w:val="0"/>
          <w:numId w:val="1"/>
        </w:numPr>
        <w:spacing w:line="360" w:lineRule="auto"/>
        <w:ind w:left="709" w:hanging="283"/>
      </w:pPr>
      <w:r w:rsidRPr="00600A8F">
        <w:rPr>
          <w:sz w:val="20"/>
          <w:szCs w:val="20"/>
        </w:rPr>
        <w:t>Introductiefilm Rotterdams Beroepenspel (te bekijken op</w:t>
      </w:r>
      <w:r w:rsidRPr="00600A8F">
        <w:rPr>
          <w:sz w:val="20"/>
          <w:szCs w:val="20"/>
        </w:rPr>
        <w:br/>
        <w:t>hogeschoolrotterdam.nl/decanen onder het kopje ‘voorlichting en studiekeuze’)</w:t>
      </w:r>
      <w:r>
        <w:br/>
      </w:r>
    </w:p>
    <w:p w:rsidR="007D2A35" w:rsidRPr="00600A8F" w:rsidRDefault="00A02837" w:rsidP="00DD08E5">
      <w:pPr>
        <w:spacing w:line="360" w:lineRule="auto"/>
        <w:ind w:left="567" w:hanging="567"/>
        <w:rPr>
          <w:b/>
          <w:color w:val="auto"/>
          <w:sz w:val="24"/>
          <w:szCs w:val="24"/>
        </w:rPr>
      </w:pPr>
      <w:r w:rsidRPr="00600A8F">
        <w:rPr>
          <w:b/>
          <w:color w:val="auto"/>
          <w:sz w:val="24"/>
          <w:szCs w:val="24"/>
        </w:rPr>
        <w:t>Stappenplan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Verdeel de klas in groepen zodat gemiddeld 5 leerlingen gezamenlijk het spel kunnen spelen.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Laat de film studeren in het hbo zien.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Laat de film introductie Rotterdams beroepenspel zien.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Sectorvellen verspreiden op de tafel.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Schud de kaartjes.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Gezamenlijk de beroepenkaartjes bij de juiste sector leggen.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 xml:space="preserve">Controleer aan de hand het beroepenoverzicht of de beroepenkaartjes bij de </w:t>
      </w:r>
      <w:r w:rsidRPr="00600A8F">
        <w:rPr>
          <w:sz w:val="20"/>
          <w:szCs w:val="20"/>
        </w:rPr>
        <w:br/>
        <w:t>juiste sector liggen.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Schrijf een top vijf aan beroepen op die je het meeste aanspreken. Een beroep kiezen die niet op de kaartjes staat aangegeven kan natuurlijk ook.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Schrijf bij de beroepen de juiste sector op.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Ga op internet op zoek naar de opleiding die aansluit bij de top vijf</w:t>
      </w:r>
      <w:r w:rsidRPr="00600A8F">
        <w:rPr>
          <w:sz w:val="20"/>
          <w:szCs w:val="20"/>
        </w:rPr>
        <w:br/>
        <w:t>beroepen.</w:t>
      </w:r>
    </w:p>
    <w:p w:rsidR="00600A8F" w:rsidRPr="00600A8F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Leerlingen: Kijk bij de desbetreffende onderwijsinstelling de toelatingsvoorwaarden.</w:t>
      </w:r>
    </w:p>
    <w:p w:rsidR="00274099" w:rsidRPr="00274099" w:rsidRDefault="00600A8F" w:rsidP="00DD08E5">
      <w:pPr>
        <w:pStyle w:val="Lijstalinea"/>
        <w:numPr>
          <w:ilvl w:val="0"/>
          <w:numId w:val="9"/>
        </w:numPr>
        <w:spacing w:line="360" w:lineRule="auto"/>
        <w:rPr>
          <w:b/>
          <w:color w:val="auto"/>
          <w:sz w:val="20"/>
          <w:szCs w:val="20"/>
        </w:rPr>
      </w:pPr>
      <w:r w:rsidRPr="00600A8F">
        <w:rPr>
          <w:sz w:val="20"/>
          <w:szCs w:val="20"/>
        </w:rPr>
        <w:t>Leerlingen: Schrijf het profiel op dat gekozen moet worden om toegelaten te worden</w:t>
      </w:r>
      <w:r w:rsidRPr="00600A8F">
        <w:rPr>
          <w:sz w:val="20"/>
          <w:szCs w:val="20"/>
        </w:rPr>
        <w:br/>
        <w:t>tot de hbo-opleiding.</w:t>
      </w:r>
    </w:p>
    <w:p w:rsidR="00274099" w:rsidRDefault="00274099" w:rsidP="00DD08E5">
      <w:pPr>
        <w:spacing w:line="360" w:lineRule="auto"/>
        <w:rPr>
          <w:sz w:val="20"/>
          <w:szCs w:val="20"/>
        </w:rPr>
      </w:pPr>
    </w:p>
    <w:p w:rsidR="007D2A35" w:rsidRPr="00274099" w:rsidRDefault="00A02837" w:rsidP="00DD08E5">
      <w:pPr>
        <w:spacing w:line="360" w:lineRule="auto"/>
        <w:rPr>
          <w:color w:val="E00747"/>
          <w:sz w:val="20"/>
          <w:szCs w:val="20"/>
        </w:rPr>
      </w:pPr>
      <w:r w:rsidRPr="00600A8F">
        <w:rPr>
          <w:sz w:val="20"/>
          <w:szCs w:val="20"/>
        </w:rPr>
        <w:t>Stap 10 tot en met 12 kunnen ook als huiswerk meegegeven worden zodat het de volgende</w:t>
      </w:r>
      <w:r w:rsidRPr="00600A8F">
        <w:rPr>
          <w:sz w:val="20"/>
          <w:szCs w:val="20"/>
        </w:rPr>
        <w:br/>
        <w:t>les kan worden besproken.</w:t>
      </w:r>
    </w:p>
    <w:sectPr w:rsidR="007D2A35" w:rsidRPr="00274099">
      <w:footerReference w:type="default" r:id="rId7"/>
      <w:pgSz w:w="11906" w:h="16838"/>
      <w:pgMar w:top="851" w:right="1418" w:bottom="851" w:left="1418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4A6" w:rsidRDefault="00A02837">
      <w:pPr>
        <w:spacing w:line="240" w:lineRule="auto"/>
      </w:pPr>
      <w:r>
        <w:separator/>
      </w:r>
    </w:p>
  </w:endnote>
  <w:endnote w:type="continuationSeparator" w:id="0">
    <w:p w:rsidR="005B04A6" w:rsidRDefault="00A02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35" w:rsidRDefault="00A02837">
    <w:pPr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0468D">
      <w:rPr>
        <w:noProof/>
      </w:rPr>
      <w:t>1</w:t>
    </w:r>
    <w:r>
      <w:fldChar w:fldCharType="end"/>
    </w:r>
  </w:p>
  <w:p w:rsidR="007D2A35" w:rsidRDefault="007D2A35">
    <w:pPr>
      <w:tabs>
        <w:tab w:val="center" w:pos="4153"/>
        <w:tab w:val="right" w:pos="8306"/>
      </w:tabs>
      <w:spacing w:after="72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4A6" w:rsidRDefault="00A02837">
      <w:pPr>
        <w:spacing w:line="240" w:lineRule="auto"/>
      </w:pPr>
      <w:r>
        <w:separator/>
      </w:r>
    </w:p>
  </w:footnote>
  <w:footnote w:type="continuationSeparator" w:id="0">
    <w:p w:rsidR="005B04A6" w:rsidRDefault="00A028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9D"/>
    <w:multiLevelType w:val="multilevel"/>
    <w:tmpl w:val="E01AFB1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2FC3BA7"/>
    <w:multiLevelType w:val="multilevel"/>
    <w:tmpl w:val="7ADCB172"/>
    <w:lvl w:ilvl="0">
      <w:start w:val="1"/>
      <w:numFmt w:val="decimal"/>
      <w:lvlText w:val="%1."/>
      <w:lvlJc w:val="left"/>
      <w:pPr>
        <w:ind w:left="1430" w:firstLine="10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50" w:firstLine="179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70" w:firstLine="269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90" w:firstLine="323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10" w:firstLine="395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30" w:firstLine="485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50" w:firstLine="539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70" w:firstLine="611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90" w:firstLine="7010"/>
      </w:pPr>
      <w:rPr>
        <w:vertAlign w:val="baseline"/>
      </w:rPr>
    </w:lvl>
  </w:abstractNum>
  <w:abstractNum w:abstractNumId="2" w15:restartNumberingAfterBreak="0">
    <w:nsid w:val="0FE44E03"/>
    <w:multiLevelType w:val="multilevel"/>
    <w:tmpl w:val="2B20E4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2DB0038"/>
    <w:multiLevelType w:val="multilevel"/>
    <w:tmpl w:val="0DEA3F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1FF529F5"/>
    <w:multiLevelType w:val="multilevel"/>
    <w:tmpl w:val="30B2AA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547662A"/>
    <w:multiLevelType w:val="hybridMultilevel"/>
    <w:tmpl w:val="9FE2378C"/>
    <w:lvl w:ilvl="0" w:tplc="451CC8E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39D"/>
    <w:multiLevelType w:val="multilevel"/>
    <w:tmpl w:val="38F811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60F7DB0"/>
    <w:multiLevelType w:val="multilevel"/>
    <w:tmpl w:val="5A5838F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766431A2"/>
    <w:multiLevelType w:val="multilevel"/>
    <w:tmpl w:val="7FAC4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C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2A35"/>
    <w:rsid w:val="00124516"/>
    <w:rsid w:val="001A5443"/>
    <w:rsid w:val="00274099"/>
    <w:rsid w:val="00533CA3"/>
    <w:rsid w:val="005B04A6"/>
    <w:rsid w:val="00600A8F"/>
    <w:rsid w:val="00744A97"/>
    <w:rsid w:val="007D2A35"/>
    <w:rsid w:val="00A02837"/>
    <w:rsid w:val="00A9381D"/>
    <w:rsid w:val="00B05C52"/>
    <w:rsid w:val="00C0468D"/>
    <w:rsid w:val="00DD08E5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9F2"/>
  <w15:docId w15:val="{956FE105-225E-4B99-AA44-4ED5A699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jstalinea">
    <w:name w:val="List Paragraph"/>
    <w:basedOn w:val="Standaard"/>
    <w:uiPriority w:val="34"/>
    <w:qFormat/>
    <w:rsid w:val="00600A8F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64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644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7B9EDA73.dotm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Knippenberg, H.J.</dc:creator>
  <cp:lastModifiedBy>Knippenberg, H.J.</cp:lastModifiedBy>
  <cp:revision>11</cp:revision>
  <dcterms:created xsi:type="dcterms:W3CDTF">2016-06-16T07:55:00Z</dcterms:created>
  <dcterms:modified xsi:type="dcterms:W3CDTF">2016-10-14T10:16:00Z</dcterms:modified>
</cp:coreProperties>
</file>